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2024年湖北省智能制造试点示范企业推荐汇总表</w:t>
      </w:r>
    </w:p>
    <w:p>
      <w:pPr>
        <w:rPr>
          <w:rFonts w:ascii="Times New Roman" w:hAnsi="Times New Roman"/>
          <w:szCs w:val="20"/>
        </w:rPr>
      </w:pPr>
      <w:r>
        <w:rPr>
          <w:rFonts w:hint="eastAsia" w:ascii="Times New Roman" w:hAnsi="Times New Roman" w:eastAsia="仿宋_GB2312"/>
          <w:b/>
          <w:bCs/>
          <w:sz w:val="24"/>
        </w:rPr>
        <w:t>推荐单位（盖章）：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68"/>
        <w:gridCol w:w="5302"/>
        <w:gridCol w:w="1961"/>
        <w:gridCol w:w="164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申报企业名称</w:t>
            </w: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申报智能制造场景（罗列）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智能制造能力成熟度评估等级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示例：1.工艺设计-</w:t>
            </w:r>
            <w:r>
              <w:rPr>
                <w:rFonts w:hint="eastAsia" w:eastAsia="楷体"/>
                <w:bCs/>
                <w:sz w:val="22"/>
                <w:szCs w:val="22"/>
              </w:rPr>
              <w:t>6.</w:t>
            </w:r>
            <w:r>
              <w:rPr>
                <w:rFonts w:eastAsia="楷体"/>
                <w:bCs/>
                <w:sz w:val="22"/>
                <w:szCs w:val="22"/>
              </w:rPr>
              <w:t>工艺数字化设计</w:t>
            </w:r>
            <w:r>
              <w:rPr>
                <w:rFonts w:hint="eastAsia" w:eastAsia="楷体"/>
                <w:bCs/>
                <w:sz w:val="22"/>
                <w:szCs w:val="22"/>
              </w:rPr>
              <w:t>；</w:t>
            </w:r>
          </w:p>
          <w:p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 xml:space="preserve">     2.生产作业-</w:t>
            </w:r>
            <w:r>
              <w:rPr>
                <w:rFonts w:hint="eastAsia" w:eastAsia="楷体"/>
                <w:bCs/>
                <w:sz w:val="22"/>
                <w:szCs w:val="22"/>
              </w:rPr>
              <w:t>12.</w:t>
            </w:r>
            <w:r>
              <w:rPr>
                <w:rFonts w:eastAsia="楷体"/>
                <w:bCs/>
                <w:sz w:val="22"/>
                <w:szCs w:val="22"/>
              </w:rPr>
              <w:t>先进过程控制</w:t>
            </w:r>
            <w:r>
              <w:rPr>
                <w:rFonts w:hint="eastAsia" w:eastAsia="楷体"/>
                <w:bCs/>
                <w:sz w:val="22"/>
                <w:szCs w:val="22"/>
              </w:rPr>
              <w:t>；</w:t>
            </w:r>
          </w:p>
          <w:p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hint="eastAsia" w:eastAsia="楷体"/>
                <w:bCs/>
                <w:sz w:val="22"/>
                <w:szCs w:val="22"/>
              </w:rPr>
              <w:t xml:space="preserve">            3.设备管理-20.</w:t>
            </w:r>
            <w:r>
              <w:rPr>
                <w:rFonts w:eastAsia="楷体"/>
                <w:bCs/>
                <w:sz w:val="22"/>
                <w:szCs w:val="22"/>
              </w:rPr>
              <w:t>设备</w:t>
            </w:r>
            <w:r>
              <w:rPr>
                <w:rFonts w:hint="eastAsia" w:eastAsia="楷体"/>
                <w:bCs/>
                <w:sz w:val="22"/>
                <w:szCs w:val="22"/>
              </w:rPr>
              <w:t>故障诊断与预测；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楷体"/>
                <w:bCs/>
                <w:sz w:val="22"/>
                <w:szCs w:val="22"/>
              </w:rPr>
              <w:t>……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  <w:sectPr>
          <w:pgSz w:w="16838" w:h="11906" w:orient="landscape"/>
          <w:pgMar w:top="1418" w:right="1418" w:bottom="1418" w:left="1418" w:header="851" w:footer="1134" w:gutter="0"/>
          <w:cols w:space="720" w:num="1"/>
          <w:docGrid w:type="lines" w:linePitch="286" w:charSpace="0"/>
        </w:sectPr>
      </w:pPr>
      <w:r>
        <w:rPr>
          <w:rFonts w:hint="eastAsia" w:ascii="仿宋_GB2312" w:hAnsi="宋体" w:eastAsia="仿宋_GB2312" w:cs="宋体"/>
          <w:sz w:val="24"/>
        </w:rPr>
        <w:t>注：</w:t>
      </w:r>
      <w:r>
        <w:rPr>
          <w:rFonts w:hint="eastAsia" w:ascii="仿宋_GB2312" w:eastAsia="仿宋_GB2312" w:cs="宋体" w:hAnsiTheme="majorEastAsia"/>
          <w:sz w:val="24"/>
        </w:rPr>
        <w:t>各地推荐</w:t>
      </w:r>
      <w:r>
        <w:rPr>
          <w:rFonts w:hint="eastAsia" w:ascii="仿宋_GB2312" w:eastAsia="仿宋_GB2312" w:hAnsiTheme="majorEastAsia"/>
          <w:bCs/>
          <w:sz w:val="24"/>
        </w:rPr>
        <w:t>智能制造试点示范企业</w:t>
      </w:r>
      <w:r>
        <w:rPr>
          <w:rFonts w:hint="eastAsia" w:ascii="仿宋_GB2312" w:eastAsia="仿宋_GB2312" w:cs="宋体" w:hAnsiTheme="majorEastAsia"/>
          <w:sz w:val="24"/>
        </w:rPr>
        <w:t>排名有先后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spacing w:after="143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具体场景描述</w:t>
      </w:r>
    </w:p>
    <w:tbl>
      <w:tblPr>
        <w:tblStyle w:val="3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19"/>
        <w:gridCol w:w="1481"/>
        <w:gridCol w:w="1263"/>
        <w:gridCol w:w="3246"/>
        <w:gridCol w:w="1563"/>
        <w:gridCol w:w="1591"/>
        <w:gridCol w:w="1518"/>
        <w:gridCol w:w="2447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具体场景名称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具体场景描述（结合要素条件进行描述，300字以内，可配图）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解决的痛点问题描述（300字以内）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采用的技术方案（包括供应商）（300字以内，可以配图）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保障要素（如人、管理机制、组织标准、培训等，200字以内，选填）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已实施成效（最好通过量化指标描述，300字以内）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其他（如对于其他车间、工厂的带动效应等，300字以内，选填）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经济性和可推广性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示例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人机协同作业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针对发动机壳体加工，搭建多台五轴机床+多台机器人组成柔性加工单元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解决复杂壳体加工效率低、质量不高等突出问题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编制集团发动机壳体加工标准，并进行标准宣贯。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场景建设完成后，目前操作人员已从5人减少至2人，加工效率提升了30%，产品不良品率降低了10%。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在该场景进行智能化改造后，整个工厂的产能提升了10%，经济效益明显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该场景总计花费了500万元，但每年为公司节省超过200万，并且大幅提高产品质量，使得公司竞争力大幅提升。同时该场景采用的均是通用设备，定制化开发投入小，适合在行业进行推广应用。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Times New Roman" w:eastAsia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1134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C9D95-349C-47DD-847E-E450F8BC18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0F9D1D-B53C-403D-9781-D87F8ED81D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8A443D-A205-4210-A0F9-40DA0B3F8C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55C94CD-B934-41E4-B38D-70FB551478E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0078CE-CC73-43C5-B7EE-BE23E7BFC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U2ZmIzYzIxYTdlODI4NjZkMjQyYTViY2RjYzQifQ=="/>
  </w:docVars>
  <w:rsids>
    <w:rsidRoot w:val="5D271B98"/>
    <w:rsid w:val="012723F3"/>
    <w:rsid w:val="5D2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2024-03-14T08:02:00Z</dcterms:created>
  <dc:creator>晨曦</dc:creator>
  <cp:lastModifiedBy>晨曦</cp:lastModifiedBy>
  <dcterms:modified xsi:type="dcterms:W3CDTF">2024-03-14T08:02:55Z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63CEFA92DA144B9F82C870A029E34365_11</vt:lpwstr>
  </property>
</Properties>
</file>