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团体标准立项公示名单</w:t>
      </w:r>
    </w:p>
    <w:tbl>
      <w:tblPr>
        <w:tblStyle w:val="3"/>
        <w:tblW w:w="8917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320"/>
        <w:gridCol w:w="2310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标准名称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发起单位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《文物安全综合信息应用平台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总体要求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6"/>
                <w:szCs w:val="26"/>
                <w:vertAlign w:val="baseline"/>
                <w:lang w:eastAsia="zh-CN"/>
              </w:rPr>
              <w:t>中国文物信息咨询中心、中南民族大学、重庆声光电智联电子有限公司、中国人民公安大学、武汉旗云高科工程技术有限公司、湖北省安全技术防范行业协会</w:t>
            </w:r>
          </w:p>
        </w:tc>
        <w:tc>
          <w:tcPr>
            <w:tcW w:w="140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《文物安全综合信息应用平台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功能要求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23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《文物安全综合信息应用平台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数据接口要求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23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《文物安全综合信息应用平台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数据分类与编码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》</w:t>
            </w:r>
          </w:p>
        </w:tc>
        <w:tc>
          <w:tcPr>
            <w:tcW w:w="23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2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《文物保护单位安全管理风险评估指南》</w:t>
            </w:r>
          </w:p>
        </w:tc>
        <w:tc>
          <w:tcPr>
            <w:tcW w:w="231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0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DM2NTcyYjE1OTIxNDU1MDk1MjQ0OTY3ZWNhYmQifQ=="/>
  </w:docVars>
  <w:rsids>
    <w:rsidRoot w:val="34A33E15"/>
    <w:rsid w:val="191F56AA"/>
    <w:rsid w:val="34A33E15"/>
    <w:rsid w:val="6603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7</TotalTime>
  <ScaleCrop>false</ScaleCrop>
  <LinksUpToDate>false</LinksUpToDate>
  <CharactersWithSpaces>210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2023-08-24T09:14:00Z</dcterms:created>
  <dc:creator>Administrator</dc:creator>
  <cp:lastModifiedBy>燕子</cp:lastModifiedBy>
  <dcterms:modified xsi:type="dcterms:W3CDTF">2023-08-25T09:21:54Z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05F080D6697A47D8AA3DFBEAE58164CC_11</vt:lpwstr>
  </property>
</Properties>
</file>